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2401" w:hanging="2401" w:hangingChars="50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辽健集团抚矿总医院智慧病房信息化建设项目供应商征集公告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辽健集团抚矿总医院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 xml:space="preserve">智慧病房信息化建设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智慧病房信息化建设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6、提供渠道代理资质；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两年内与此相似的业绩和合同履行情况（提供相关证明资料复印件，包括但不限于提供合同首页和签署页）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黄婷婷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560" w:firstLineChars="200"/>
        <w:jc w:val="left"/>
        <w:textAlignment w:val="baseline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IyMmIyZTM0NmVlMzE4NTAyNWNhM2QxM2JkMjgifQ=="/>
  </w:docVars>
  <w:rsids>
    <w:rsidRoot w:val="00000000"/>
    <w:rsid w:val="00DE3F47"/>
    <w:rsid w:val="03F97DE9"/>
    <w:rsid w:val="08510EF1"/>
    <w:rsid w:val="0ECD3EA6"/>
    <w:rsid w:val="1304784E"/>
    <w:rsid w:val="14B54E43"/>
    <w:rsid w:val="1B925E6B"/>
    <w:rsid w:val="1C0004F8"/>
    <w:rsid w:val="1ED43A14"/>
    <w:rsid w:val="21FB3CC8"/>
    <w:rsid w:val="230741AB"/>
    <w:rsid w:val="2A427DDB"/>
    <w:rsid w:val="2A75442B"/>
    <w:rsid w:val="2A7B6178"/>
    <w:rsid w:val="42290E86"/>
    <w:rsid w:val="42CA74DA"/>
    <w:rsid w:val="4CC93988"/>
    <w:rsid w:val="52392697"/>
    <w:rsid w:val="53E46C89"/>
    <w:rsid w:val="5EEA6067"/>
    <w:rsid w:val="5EEF6210"/>
    <w:rsid w:val="6D1E00BF"/>
    <w:rsid w:val="735B56B5"/>
    <w:rsid w:val="7633317C"/>
    <w:rsid w:val="76B0459A"/>
    <w:rsid w:val="7AA85BF7"/>
    <w:rsid w:val="7BC17B3C"/>
    <w:rsid w:val="7C6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826</Words>
  <Characters>905</Characters>
  <Lines>0</Lines>
  <Paragraphs>0</Paragraphs>
  <TotalTime>7</TotalTime>
  <ScaleCrop>false</ScaleCrop>
  <LinksUpToDate>false</LinksUpToDate>
  <CharactersWithSpaces>992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ting</cp:lastModifiedBy>
  <dcterms:modified xsi:type="dcterms:W3CDTF">2024-03-28T05:40:44Z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C8ADD1D213E44379A11049643C8157E9_12</vt:lpwstr>
  </property>
</Properties>
</file>